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9650" w14:textId="2F5FE33B" w:rsidR="00D61805" w:rsidRPr="00D97256" w:rsidRDefault="009F596A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  <w:lang w:val="es-ES_tradnl"/>
        </w:rPr>
      </w:pP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Cuadro 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para </w:t>
      </w: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>re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>co</w:t>
      </w:r>
      <w:r w:rsidR="003572E1">
        <w:rPr>
          <w:rFonts w:cs="Arial"/>
          <w:b/>
          <w:bCs/>
          <w:color w:val="00B050"/>
          <w:sz w:val="24"/>
          <w:szCs w:val="24"/>
          <w:lang w:val="es-ES_tradnl"/>
        </w:rPr>
        <w:t>pilar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comentarios durante la consulta de </w:t>
      </w:r>
      <w:r w:rsidR="007D4AEB" w:rsidRPr="00D97256">
        <w:rPr>
          <w:rFonts w:cs="Arial"/>
          <w:b/>
          <w:bCs/>
          <w:color w:val="00B050"/>
          <w:sz w:val="24"/>
          <w:szCs w:val="24"/>
          <w:lang w:val="es-ES_tradnl"/>
        </w:rPr>
        <w:t>país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</w:t>
      </w:r>
    </w:p>
    <w:p w14:paraId="5C6D5C9E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val="es-ES_tradnl"/>
        </w:rPr>
      </w:pPr>
    </w:p>
    <w:p w14:paraId="296B8924" w14:textId="0C21340E" w:rsidR="000E7B04" w:rsidRPr="00D97256" w:rsidRDefault="008D3839" w:rsidP="005836BA">
      <w:pPr>
        <w:spacing w:after="0"/>
        <w:jc w:val="center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b/>
          <w:bCs/>
          <w:sz w:val="28"/>
          <w:szCs w:val="28"/>
          <w:lang w:val="es-ES_tradnl"/>
        </w:rPr>
        <w:t xml:space="preserve">DOCUMENTO DE </w:t>
      </w:r>
      <w:r w:rsidR="009825DE">
        <w:rPr>
          <w:rFonts w:cstheme="minorHAnsi"/>
          <w:b/>
          <w:bCs/>
          <w:sz w:val="28"/>
          <w:szCs w:val="28"/>
          <w:lang w:val="es-ES_tradnl"/>
        </w:rPr>
        <w:t>CIENCIA Y TECNOLOGIA 08</w:t>
      </w:r>
      <w:r>
        <w:rPr>
          <w:rFonts w:cstheme="minorHAnsi"/>
          <w:b/>
          <w:bCs/>
          <w:sz w:val="28"/>
          <w:szCs w:val="28"/>
          <w:lang w:val="es-ES_tradnl"/>
        </w:rPr>
        <w:t xml:space="preserve"> DE LA NAPPO</w:t>
      </w:r>
    </w:p>
    <w:p w14:paraId="28D4D705" w14:textId="17DA7D44" w:rsidR="005836BA" w:rsidRPr="00205F8F" w:rsidRDefault="009825DE" w:rsidP="002F05B2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s-ES_tradnl"/>
        </w:rPr>
      </w:pPr>
      <w:r>
        <w:rPr>
          <w:rFonts w:cstheme="minorHAnsi"/>
          <w:b/>
          <w:bCs/>
          <w:i/>
          <w:iCs/>
          <w:sz w:val="28"/>
          <w:szCs w:val="28"/>
          <w:lang w:val="es-ES_tradnl"/>
        </w:rPr>
        <w:t>Organismos contaminantes que afectan al comercio de productos de madera y productos forestales</w:t>
      </w:r>
    </w:p>
    <w:p w14:paraId="59085BFB" w14:textId="77777777" w:rsidR="00D61805" w:rsidRPr="00D97256" w:rsidRDefault="00D61805" w:rsidP="009825DE">
      <w:pPr>
        <w:autoSpaceDE w:val="0"/>
        <w:autoSpaceDN w:val="0"/>
        <w:adjustRightInd w:val="0"/>
        <w:spacing w:after="0" w:line="240" w:lineRule="auto"/>
        <w:rPr>
          <w:rFonts w:cs="Arial"/>
          <w:color w:val="00B050"/>
          <w:sz w:val="24"/>
          <w:szCs w:val="24"/>
          <w:lang w:val="es-ES_tradnl"/>
        </w:rPr>
      </w:pPr>
    </w:p>
    <w:p w14:paraId="30BDA100" w14:textId="05B065F6" w:rsidR="00D61805" w:rsidRPr="00D97256" w:rsidRDefault="00D97256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2F05B2" w:rsidRPr="00D97256">
        <w:rPr>
          <w:rFonts w:cs="Arial"/>
          <w:color w:val="000000"/>
          <w:sz w:val="24"/>
          <w:szCs w:val="24"/>
          <w:lang w:val="es-ES_tradnl"/>
        </w:rPr>
        <w:t xml:space="preserve"> u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>tilice est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para anotar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y brindar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comentarios. </w:t>
      </w:r>
    </w:p>
    <w:p w14:paraId="515B1147" w14:textId="65DAFEEA" w:rsidR="00C75B58" w:rsidRPr="00D97256" w:rsidRDefault="00D97256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lea las instrucciones para utiliz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el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antes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empezar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a anotar sus comentarios. </w:t>
      </w:r>
    </w:p>
    <w:p w14:paraId="51ECE04E" w14:textId="4BE81681" w:rsidR="00D61805" w:rsidRPr="00D97256" w:rsidRDefault="0067603E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La modalidad del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 cuadro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facilita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recopilación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todos los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comentarios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262D3">
        <w:rPr>
          <w:rFonts w:cs="Arial"/>
          <w:color w:val="000000"/>
          <w:sz w:val="24"/>
          <w:szCs w:val="24"/>
          <w:lang w:val="es-ES_tradnl"/>
        </w:rPr>
        <w:t xml:space="preserve">que reciban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los Grupos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</w:t>
      </w:r>
      <w:r w:rsidRPr="00D97256">
        <w:rPr>
          <w:rFonts w:cs="Arial"/>
          <w:color w:val="000000"/>
          <w:sz w:val="24"/>
          <w:szCs w:val="24"/>
          <w:lang w:val="es-ES_tradnl"/>
        </w:rPr>
        <w:t>xpertos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, el Comité Consultivo y de Manejo (CCM)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así como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de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Secretar</w:t>
      </w:r>
      <w:r w:rsidR="007D4AEB" w:rsidRPr="00D97256">
        <w:rPr>
          <w:rFonts w:cstheme="minorHAnsi"/>
          <w:color w:val="000000"/>
          <w:sz w:val="24"/>
          <w:szCs w:val="24"/>
          <w:lang w:val="es-ES_tradnl"/>
        </w:rPr>
        <w:t>í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la NAPPO. </w:t>
      </w:r>
    </w:p>
    <w:p w14:paraId="2B757D23" w14:textId="3D2A5AE6" w:rsidR="00C75B58" w:rsidRPr="00D97256" w:rsidRDefault="0067603E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Consulte el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cuadro con los detalles de la persona de contacto en su país (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en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subpágina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consulta de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país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en el sitio web de la NAPPO)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para asegurarse que sepa quién debe recibir los comentarios, así como su dirección electrónica y número de teléfono. </w:t>
      </w:r>
    </w:p>
    <w:p w14:paraId="0765F0C6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highlight w:val="yellow"/>
          <w:lang w:val="es-ES_tradnl"/>
        </w:rPr>
      </w:pPr>
    </w:p>
    <w:p w14:paraId="6CD286A3" w14:textId="0FCB939C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n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ombre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</w:t>
      </w:r>
    </w:p>
    <w:p w14:paraId="63840995" w14:textId="2271C8BE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c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argo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------------------------------------------------</w:t>
      </w:r>
    </w:p>
    <w:p w14:paraId="5B708865" w14:textId="4C956B7B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Su </w:t>
      </w:r>
      <w:r w:rsidR="009026F7" w:rsidRPr="00D97256">
        <w:rPr>
          <w:rFonts w:cs="Arial"/>
          <w:color w:val="000000"/>
          <w:sz w:val="24"/>
          <w:szCs w:val="24"/>
          <w:lang w:val="es-ES_tradnl"/>
        </w:rPr>
        <w:t>país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</w:t>
      </w:r>
    </w:p>
    <w:p w14:paraId="072D80C8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</w:p>
    <w:tbl>
      <w:tblPr>
        <w:tblStyle w:val="TableGrid"/>
        <w:tblW w:w="13515" w:type="dxa"/>
        <w:tblInd w:w="0" w:type="dxa"/>
        <w:tblLook w:val="04A0" w:firstRow="1" w:lastRow="0" w:firstColumn="1" w:lastColumn="0" w:noHBand="0" w:noVBand="1"/>
      </w:tblPr>
      <w:tblGrid>
        <w:gridCol w:w="3378"/>
        <w:gridCol w:w="1854"/>
        <w:gridCol w:w="1683"/>
        <w:gridCol w:w="1774"/>
        <w:gridCol w:w="1296"/>
        <w:gridCol w:w="10"/>
        <w:gridCol w:w="2235"/>
        <w:gridCol w:w="1285"/>
      </w:tblGrid>
      <w:tr w:rsidR="008B7C42" w:rsidRPr="00D97256" w14:paraId="08148EDA" w14:textId="77777777" w:rsidTr="00BC5F14">
        <w:tc>
          <w:tcPr>
            <w:tcW w:w="9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02D5BD21" w:rsidR="00D61805" w:rsidRPr="00D97256" w:rsidRDefault="008B7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Utilice estas columnas para anotar sus comentarios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3CE61BA5" w:rsidR="00D61805" w:rsidRPr="00D97256" w:rsidRDefault="005836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Dejar estas en blanco</w:t>
            </w:r>
          </w:p>
        </w:tc>
      </w:tr>
      <w:tr w:rsidR="008B7C42" w:rsidRPr="009825DE" w14:paraId="3BD0665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0C6B368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Apartado del documento</w:t>
            </w:r>
          </w:p>
          <w:p w14:paraId="2FCB426C" w14:textId="06346E7E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1669F52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Tipo de comentario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1CEE01D3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Ubicación precisa – página y n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ú</w:t>
            </w: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mero de renglón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18B25A99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Texto alternativo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1C8BC7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5. E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xplicaci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ó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37AB110B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6.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Aceptado/rechazado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699AEE9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7. 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Si fue rechazado, </w:t>
            </w:r>
            <w:r w:rsidR="007D4AEB" w:rsidRPr="00D97256">
              <w:rPr>
                <w:rFonts w:cstheme="minorHAnsi"/>
                <w:i/>
                <w:iCs/>
                <w:color w:val="000000"/>
                <w:sz w:val="24"/>
                <w:szCs w:val="24"/>
                <w:lang w:val="es-ES_tradnl"/>
              </w:rPr>
              <w:t>¿</w:t>
            </w:r>
            <w:r w:rsidR="007916A8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por qué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?</w:t>
            </w:r>
          </w:p>
        </w:tc>
      </w:tr>
      <w:tr w:rsidR="007B7281" w:rsidRPr="009825DE" w14:paraId="14EA7F7B" w14:textId="77777777" w:rsidTr="00BC5F14">
        <w:tc>
          <w:tcPr>
            <w:tcW w:w="1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1A" w14:textId="7515E3F9" w:rsidR="007B7281" w:rsidRPr="008B5FCB" w:rsidRDefault="009825DE" w:rsidP="009825DE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sz w:val="28"/>
                <w:szCs w:val="28"/>
                <w:lang w:val="es-ES_tradnl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>Organismos contaminantes que afectan al comercio de productos de madera y productos forestales</w:t>
            </w:r>
          </w:p>
        </w:tc>
      </w:tr>
      <w:tr w:rsidR="008B7C42" w:rsidRPr="00D97256" w14:paraId="205883D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2D1DBEA4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Comentarios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D97256" w14:paraId="2F16AD60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4BA" w14:textId="3EB61BDB" w:rsidR="00251998" w:rsidRPr="00644036" w:rsidRDefault="00644036" w:rsidP="0064403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INTRODUCCION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E2A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CC0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3E9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A66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B6BFC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0A6D79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D97256" w14:paraId="71DF8F4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8D8" w14:textId="67EFC2B8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1.1 Objetivo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64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E19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506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F41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AF5EA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490207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9825DE" w14:paraId="51C9B95F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24D" w14:textId="01F42F30" w:rsidR="00251998" w:rsidRPr="00644036" w:rsidRDefault="00644036" w:rsidP="0064403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ORGANISMOS CONTAMINANTES Y 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PLAGAS CONTAMINANTES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AE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6D3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8E3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D4F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E8684F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6528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9825DE" w14:paraId="50DF452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97C" w14:textId="4FBAB455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 </w:t>
            </w: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¿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Que consideran los países como plagas contaminantes?</w:t>
            </w:r>
            <w:r w:rsidR="00251998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50E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DF8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B71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84E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0E4967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22D202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9825DE" w14:paraId="44763968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277" w14:textId="277E49B4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2.1.1 Datos de intercepciones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6EF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883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C76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7E2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CDD3F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E0930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9825DE" w14:paraId="025EF6DA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AE6" w14:textId="799C046F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2.2 Productos de madera y medios de transporte que pidieran transportar organismos contaminantes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514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410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723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DB6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592192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99AA8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251998" w14:paraId="65EFDE3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9FF" w14:textId="452E825A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2.2.1 Medios de transporte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40B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64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EFF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37A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FD619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552818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251998" w14:paraId="06E5B635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BB3E" w14:textId="30F5957B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Contenedores marítimos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158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32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F88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85D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D99719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868695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251998" w:rsidRPr="00251998" w14:paraId="6BB9F25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D22" w14:textId="363C1107" w:rsidR="00251998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Embarcaciones marítimas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9C4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3C8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69C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854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05732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3DFA59" w14:textId="77777777" w:rsidR="00251998" w:rsidRPr="00D97256" w:rsidRDefault="002519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251998" w14:paraId="361E4A0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EC9" w14:textId="5CE8294D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Camiones y remolques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73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403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37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AA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790A1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85A52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251998" w14:paraId="1A5A676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573E" w14:textId="07A6B39A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Aviones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F6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00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B2E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53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C7C30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91BF08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251998" w14:paraId="7F9E2A0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6E7" w14:textId="6D981856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2.2.2 Productos de madera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6A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398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2E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AD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369883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85947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220362D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049" w14:textId="7C8F3260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2.3 </w:t>
            </w: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¿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Por qué contaminan los organismos a los productos de madera?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855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E8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3C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86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5E04A6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E5127F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68AF4B3F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FE3" w14:textId="1EAB7E5F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2.3.1 Atrayentes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semioqu</w:t>
            </w: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í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micos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56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7E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91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D4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496C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3801F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3BAB86F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5BF" w14:textId="28BBF000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2.3.2 Señales visuales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BFD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D5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F3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848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CEE5D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5331D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2F08DD0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823" w14:textId="6B5B3F7D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Luz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fototaxia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50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5F3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E8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5E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3E01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9492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226A1C00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961" w14:textId="6653DC8B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Formas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47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20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0E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49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AB916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B2E4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1057A93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EEC" w14:textId="743004A9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2.3.3 Sonido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D03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EA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27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AA8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49C2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F7B7E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6E8E7D30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30F" w14:textId="183A5D5E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2.3.4 Temperatura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5A5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AE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C8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04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18ADD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C9249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5740D89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D1B" w14:textId="2C994D52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2.3.5 Humedad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FB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62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5AE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AE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4DD563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0156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24D70FB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6D4" w14:textId="0C821026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2.4 Consideraciones del comportamiento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504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9F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91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A9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38838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ED90C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58E4F318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1D2" w14:textId="19333DB4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2.4.1 Refugio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738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8B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6F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524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0FB7D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CDC8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00020145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95D" w14:textId="735AC1A9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2.4.2 Posar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B5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BA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164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41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8CD11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FD3ED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697A56BD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7B5" w14:textId="73B5242F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2.4.3 Anidar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D7C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76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D96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52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0FAE6D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A35ED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00D8E451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3B1" w14:textId="28498362" w:rsidR="0064403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2.4.4 Dispersión con el viento y el agua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B4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EF7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0B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5D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1ED5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BB4F2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44036" w:rsidRPr="00644036" w14:paraId="0C29A584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471" w14:textId="7A121EB9" w:rsidR="0064403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2.5 Consideraciones biológicas del riesgo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983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71A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220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982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264FCB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00A59" w14:textId="77777777" w:rsidR="00644036" w:rsidRPr="00D97256" w:rsidRDefault="006440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0A0842B3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47C" w14:textId="5CFA2827" w:rsidR="00E85438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2.5.1 Estadio de vida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CB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66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87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60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0D29CD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0968D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49CBF89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632" w14:textId="37979EE5" w:rsidR="00E85438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2.5.2 Requisitos fisiológicos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4B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F7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4B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3AD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4607D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A7B4B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34A7E9A2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CE6" w14:textId="637BE581" w:rsidR="00E85438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2.5.3 Consideraciones de la reproducción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31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39D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1D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B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2024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EE44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1AEBC8F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818" w14:textId="3856AA36" w:rsidR="00E85438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2.5.4 Potencial de establecimiento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DE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30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7E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AF1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0207A3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EBD8D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19623FB9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46F" w14:textId="45A09A4C" w:rsidR="00E85438" w:rsidRPr="00E85438" w:rsidRDefault="00E85438" w:rsidP="00E8543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MEDIDAS FITOSANITARIAS PARA DISMINUIR LA INCIDENCIA DE ORGANISMOS CONTAMINANTES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2B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FC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30D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CB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4846F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D78DA7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5F60193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1EC" w14:textId="73F5F4F7" w:rsidR="00E85438" w:rsidRP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3.1 Medidas que se aplican inmediatamente antes del envío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3E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E3E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24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8A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C90D6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37AF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628E57B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82C" w14:textId="5E68867E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Tratamiento de calor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4A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12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7A3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0F9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EB523E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F00C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7B394D0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8F3" w14:textId="53D06E81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Fumigación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B4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DFD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9B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5E7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59DE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071EE7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6F39FD4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5A8" w14:textId="34A2872B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Eliminación física de las plagas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AA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2C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C9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10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244DAE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C4BAA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1E86B329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C9E" w14:textId="683AEDDF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Per</w:t>
            </w:r>
            <w:r>
              <w:rPr>
                <w:rFonts w:cstheme="minorHAnsi"/>
                <w:color w:val="000000"/>
                <w:sz w:val="24"/>
                <w:szCs w:val="24"/>
                <w:lang w:val="es-ES_tradnl"/>
              </w:rPr>
              <w:t>í</w:t>
            </w: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odo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5B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16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65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AF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DB0C71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7910C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254F9B69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F02" w14:textId="574D1ED9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Inspección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72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E4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F89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387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9C03D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BC849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3BEEC1E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2E7" w14:textId="2F14DD22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3.2 Aplicación de plaguicidas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11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DDC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47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75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A6182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F9D86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4C5D5757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CF7" w14:textId="0BE0D542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3.3 Temporada de envío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2AE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AD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D4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23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0C63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F4F4B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208BDCBE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770" w14:textId="29D117CA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3.4 Áreas libres de plagas o de baja prevalencia y áreas de producción libres de plagas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73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50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2C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16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87A183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4C05EC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12D284C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720" w14:textId="13E87018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3.5 Almacenamiento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0E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621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0A7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724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1EDD1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3989D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711ABAF1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5F4" w14:textId="246A44A5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3.6 Enfoques de sistemas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7F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9C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33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EDE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9589D1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D4CF2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526FE1D3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2BD" w14:textId="4FA44322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 xml:space="preserve">3.7 Disminución del riesgo posterior al envío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00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C3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E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89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79D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098B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4817B4D8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CB6" w14:textId="02577974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3.7.1 NRMF 33 – inspección previa a la entrada para la palomilla gitana asiática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C4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B7C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D6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B97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C65B28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3FC6C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7FB99ABB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DB9" w14:textId="1D8955AA" w:rsidR="00E85438" w:rsidRDefault="00E85438" w:rsidP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3.8 Inspección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66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82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33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3D2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62A16A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74D35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E85438" w:rsidRPr="00644036" w14:paraId="3494A1BA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F68" w14:textId="4C6BF429" w:rsidR="00E85438" w:rsidRPr="00CE145B" w:rsidRDefault="00CE145B" w:rsidP="00CE145B">
            <w:pPr>
              <w:rPr>
                <w:lang w:val="es-ES_tradnl"/>
              </w:rPr>
            </w:pPr>
            <w:r>
              <w:rPr>
                <w:lang w:val="es-ES_tradnl"/>
              </w:rPr>
              <w:t>3.8.1 Muestreo fundamentado en el riesgo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73C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31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F56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D80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A7475F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69F97B" w14:textId="77777777" w:rsidR="00E85438" w:rsidRPr="00D97256" w:rsidRDefault="00E8543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E145B" w:rsidRPr="00644036" w14:paraId="480E2C98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EC5" w14:textId="4B88161F" w:rsidR="00CE145B" w:rsidRDefault="00CE145B" w:rsidP="00CE145B">
            <w:pPr>
              <w:rPr>
                <w:lang w:val="es-ES_tradnl"/>
              </w:rPr>
            </w:pPr>
            <w:r>
              <w:rPr>
                <w:lang w:val="es-ES_tradnl"/>
              </w:rPr>
              <w:t>3.8.2 Manual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392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003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0DD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CF4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FED159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1FB9A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E145B" w:rsidRPr="00644036" w14:paraId="3B22A881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60B" w14:textId="3554556A" w:rsidR="00CE145B" w:rsidRDefault="00CE145B" w:rsidP="00CE145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3.8.3 Capacitación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165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1E3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E0D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F1F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840D28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F989A6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E145B" w:rsidRPr="00644036" w14:paraId="06F016AF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771" w14:textId="3A279694" w:rsidR="00CE145B" w:rsidRDefault="00CE145B" w:rsidP="00CE145B">
            <w:pPr>
              <w:rPr>
                <w:lang w:val="es-ES_tradnl"/>
              </w:rPr>
            </w:pPr>
            <w:r>
              <w:rPr>
                <w:lang w:val="es-ES_tradnl"/>
              </w:rPr>
              <w:t>3.8.4 Auditoria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128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B3D4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639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C5D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A25BD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86A836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E145B" w:rsidRPr="00644036" w14:paraId="4C0AB376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B82" w14:textId="597CAFA8" w:rsidR="00CE145B" w:rsidRDefault="00CE145B" w:rsidP="00CE145B">
            <w:pPr>
              <w:rPr>
                <w:lang w:val="es-ES_tradnl"/>
              </w:rPr>
            </w:pPr>
            <w:r>
              <w:rPr>
                <w:lang w:val="es-ES_tradnl"/>
              </w:rPr>
              <w:t>3.9 Rastreabilidad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C47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684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75B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C36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57E867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B8785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E145B" w:rsidRPr="00644036" w14:paraId="2F0726BC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5B4" w14:textId="4331FB62" w:rsidR="00CE145B" w:rsidRPr="00CE145B" w:rsidRDefault="00CE145B" w:rsidP="00CE145B">
            <w:pPr>
              <w:pStyle w:val="ListParagraph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CONCLUSIONES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EC3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68C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C2F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9F4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6125EE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F8EF74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E145B" w:rsidRPr="00644036" w14:paraId="782DCD01" w14:textId="77777777" w:rsidTr="00BC5F14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029" w14:textId="700A1D99" w:rsidR="00CE145B" w:rsidRDefault="00CE145B" w:rsidP="00CE145B">
            <w:pPr>
              <w:pStyle w:val="ListParagraph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REFERENCIAS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867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EF0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6A9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115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0EB9B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6B5F23" w14:textId="77777777" w:rsidR="00CE145B" w:rsidRPr="00D97256" w:rsidRDefault="00CE1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12CD63B6" w14:textId="5E41A925" w:rsidR="00C06751" w:rsidRPr="00D97256" w:rsidRDefault="00C06751" w:rsidP="00E85438">
      <w:pPr>
        <w:rPr>
          <w:lang w:val="es-ES_tradnl"/>
        </w:rPr>
      </w:pPr>
    </w:p>
    <w:sectPr w:rsidR="00C06751" w:rsidRPr="00D97256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AB72" w14:textId="77777777" w:rsidR="004E7320" w:rsidRDefault="004E7320" w:rsidP="00C75B58">
      <w:pPr>
        <w:spacing w:after="0" w:line="240" w:lineRule="auto"/>
      </w:pPr>
      <w:r>
        <w:separator/>
      </w:r>
    </w:p>
  </w:endnote>
  <w:endnote w:type="continuationSeparator" w:id="0">
    <w:p w14:paraId="5DCC2706" w14:textId="77777777" w:rsidR="004E7320" w:rsidRDefault="004E7320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E6E7" w14:textId="77777777" w:rsidR="004E7320" w:rsidRDefault="004E7320" w:rsidP="00C75B58">
      <w:pPr>
        <w:spacing w:after="0" w:line="240" w:lineRule="auto"/>
      </w:pPr>
      <w:r>
        <w:separator/>
      </w:r>
    </w:p>
  </w:footnote>
  <w:footnote w:type="continuationSeparator" w:id="0">
    <w:p w14:paraId="27310A37" w14:textId="77777777" w:rsidR="004E7320" w:rsidRDefault="004E7320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E44B8A"/>
    <w:multiLevelType w:val="hybridMultilevel"/>
    <w:tmpl w:val="37B0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41DF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0E1838"/>
    <w:rsid w:val="000E7B04"/>
    <w:rsid w:val="00111FCE"/>
    <w:rsid w:val="00205F8F"/>
    <w:rsid w:val="00251998"/>
    <w:rsid w:val="002A1C9C"/>
    <w:rsid w:val="002F05B2"/>
    <w:rsid w:val="00316F45"/>
    <w:rsid w:val="003572E1"/>
    <w:rsid w:val="0037363E"/>
    <w:rsid w:val="00394747"/>
    <w:rsid w:val="004B1358"/>
    <w:rsid w:val="004E7320"/>
    <w:rsid w:val="0054796E"/>
    <w:rsid w:val="00561526"/>
    <w:rsid w:val="005836BA"/>
    <w:rsid w:val="00644036"/>
    <w:rsid w:val="0067364C"/>
    <w:rsid w:val="0067603E"/>
    <w:rsid w:val="00696AC1"/>
    <w:rsid w:val="006E66D3"/>
    <w:rsid w:val="00762DB5"/>
    <w:rsid w:val="007916A8"/>
    <w:rsid w:val="007A44E4"/>
    <w:rsid w:val="007B7281"/>
    <w:rsid w:val="007C20B1"/>
    <w:rsid w:val="007C5A94"/>
    <w:rsid w:val="007D4AEB"/>
    <w:rsid w:val="00887C43"/>
    <w:rsid w:val="008B5FCB"/>
    <w:rsid w:val="008B7C42"/>
    <w:rsid w:val="008C3EA8"/>
    <w:rsid w:val="008D3839"/>
    <w:rsid w:val="009026F7"/>
    <w:rsid w:val="009825DE"/>
    <w:rsid w:val="009F596A"/>
    <w:rsid w:val="00B939CD"/>
    <w:rsid w:val="00BA4A66"/>
    <w:rsid w:val="00BC5F14"/>
    <w:rsid w:val="00BC6C39"/>
    <w:rsid w:val="00C06751"/>
    <w:rsid w:val="00C16898"/>
    <w:rsid w:val="00C75B58"/>
    <w:rsid w:val="00CE145B"/>
    <w:rsid w:val="00D61805"/>
    <w:rsid w:val="00D97256"/>
    <w:rsid w:val="00E85438"/>
    <w:rsid w:val="00EC4C98"/>
    <w:rsid w:val="00F16FF1"/>
    <w:rsid w:val="00F262D3"/>
    <w:rsid w:val="00F41C12"/>
    <w:rsid w:val="00F75DFD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Stephanie Bloem</cp:lastModifiedBy>
  <cp:revision>20</cp:revision>
  <dcterms:created xsi:type="dcterms:W3CDTF">2020-05-29T13:00:00Z</dcterms:created>
  <dcterms:modified xsi:type="dcterms:W3CDTF">2021-04-28T17:28:00Z</dcterms:modified>
</cp:coreProperties>
</file>